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cs="Arial" w:ascii="Arial" w:hAnsi="Arial"/>
          <w:color w:val="000000"/>
          <w:sz w:val="32"/>
          <w:szCs w:val="32"/>
        </w:rPr>
        <w:t xml:space="preserve">Opatření obecné povahy </w:t>
      </w:r>
      <w:r>
        <w:rPr>
          <w:rFonts w:cs="Arial" w:ascii="Arial" w:hAnsi="Arial"/>
          <w:color w:val="000000"/>
          <w:sz w:val="32"/>
          <w:szCs w:val="32"/>
          <w:shd w:fill="auto" w:val="clear"/>
        </w:rPr>
        <w:t>č.</w:t>
      </w:r>
      <w:r>
        <w:rPr>
          <w:rFonts w:cs="Arial" w:ascii="Arial" w:hAnsi="Arial"/>
          <w:color w:val="000000"/>
          <w:sz w:val="32"/>
          <w:szCs w:val="32"/>
          <w:shd w:fill="auto" w:val="clear"/>
        </w:rPr>
        <w:t>01/2023</w:t>
      </w:r>
    </w:p>
    <w:p>
      <w:pPr>
        <w:pStyle w:val="Normal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městyse Karlštejn, příslušné podle § 6 odst. 5 písm. c) zákona č. 183/2006 Sb., o územním plánování a stavebním řádu (stavební zákon), </w:t>
      </w:r>
      <w:bookmarkStart w:id="0" w:name="_GoBack"/>
      <w:r>
        <w:rPr>
          <w:rStyle w:val="Markedcontent"/>
          <w:rFonts w:cs="Arial" w:ascii="Arial" w:hAnsi="Arial"/>
          <w:sz w:val="22"/>
          <w:szCs w:val="22"/>
        </w:rPr>
        <w:t>za použití § 43</w:t>
      </w:r>
      <w:r>
        <w:rPr>
          <w:sz w:val="22"/>
          <w:szCs w:val="22"/>
        </w:rPr>
        <w:br/>
      </w:r>
      <w:r>
        <w:rPr>
          <w:rStyle w:val="Markedcontent"/>
          <w:rFonts w:cs="Arial" w:ascii="Arial" w:hAnsi="Arial"/>
          <w:sz w:val="22"/>
          <w:szCs w:val="22"/>
        </w:rPr>
        <w:t>odst. 4</w:t>
      </w:r>
      <w:bookmarkEnd w:id="0"/>
      <w:r>
        <w:rPr>
          <w:rStyle w:val="Markedcontent"/>
          <w:rFonts w:cs="Arial" w:ascii="Arial" w:hAnsi="Arial"/>
          <w:color w:val="0070C0"/>
          <w:sz w:val="22"/>
          <w:szCs w:val="22"/>
        </w:rPr>
        <w:t xml:space="preserve"> </w:t>
      </w:r>
      <w:r>
        <w:rPr>
          <w:rStyle w:val="Markedcontent"/>
          <w:rFonts w:cs="Arial" w:ascii="Arial" w:hAnsi="Arial"/>
          <w:color w:val="000000"/>
          <w:sz w:val="22"/>
          <w:szCs w:val="22"/>
        </w:rPr>
        <w:t xml:space="preserve">a § 55b odst. 10 stavebního zákona, § 13 a přílohy č. 7 </w:t>
      </w:r>
      <w:r>
        <w:rPr>
          <w:rStyle w:val="Markedcontent"/>
          <w:rFonts w:cs="Arial" w:ascii="Arial" w:hAnsi="Arial"/>
          <w:sz w:val="22"/>
          <w:szCs w:val="22"/>
        </w:rPr>
        <w:t>vyhlášky č. 500/2006 Sb.,</w:t>
      </w:r>
      <w:r>
        <w:rPr>
          <w:sz w:val="22"/>
          <w:szCs w:val="22"/>
        </w:rPr>
        <w:br/>
      </w:r>
      <w:r>
        <w:rPr>
          <w:rStyle w:val="Markedcontent"/>
          <w:rFonts w:cs="Arial" w:ascii="Arial" w:hAnsi="Arial"/>
          <w:sz w:val="22"/>
          <w:szCs w:val="22"/>
        </w:rPr>
        <w:t>o územně analytických podkladech, územně plánovací dokumentaci a způsobu evidence</w:t>
      </w:r>
      <w:r>
        <w:rPr>
          <w:sz w:val="22"/>
          <w:szCs w:val="22"/>
        </w:rPr>
        <w:br/>
      </w:r>
      <w:r>
        <w:rPr>
          <w:rStyle w:val="Markedcontent"/>
          <w:rFonts w:cs="Arial" w:ascii="Arial" w:hAnsi="Arial"/>
          <w:sz w:val="22"/>
          <w:szCs w:val="22"/>
        </w:rPr>
        <w:t xml:space="preserve">územně plánovací činnosti, </w:t>
      </w:r>
      <w:r>
        <w:rPr>
          <w:rFonts w:cs="Arial" w:ascii="Arial" w:hAnsi="Arial"/>
          <w:sz w:val="22"/>
          <w:szCs w:val="22"/>
        </w:rPr>
        <w:t xml:space="preserve">v souladu s ustanoveními § 171 - § 174 </w:t>
      </w:r>
      <w:bookmarkStart w:id="1" w:name="_Hlk104485877"/>
      <w:r>
        <w:rPr>
          <w:rFonts w:cs="Arial" w:ascii="Arial" w:hAnsi="Arial"/>
          <w:sz w:val="22"/>
          <w:szCs w:val="22"/>
        </w:rPr>
        <w:t>zákona č. 500/2004 Sb., správní řád,</w:t>
      </w:r>
      <w:bookmarkEnd w:id="1"/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ve spojení  </w:t>
      </w:r>
      <w:r>
        <w:rPr>
          <w:rStyle w:val="Markedcontent"/>
          <w:rFonts w:cs="Arial" w:ascii="Arial" w:hAnsi="Arial"/>
          <w:color w:val="000000"/>
          <w:sz w:val="22"/>
          <w:szCs w:val="22"/>
        </w:rPr>
        <w:t>s ustanovením § 188 odst. 4 stavebního zákona</w:t>
      </w:r>
    </w:p>
    <w:p>
      <w:pPr>
        <w:pStyle w:val="Normal"/>
        <w:spacing w:before="57" w:after="0"/>
        <w:jc w:val="center"/>
        <w:rPr>
          <w:rFonts w:ascii="Arial" w:hAnsi="Arial" w:cs="Arial"/>
          <w:b/>
          <w:b/>
          <w:bCs/>
          <w:color w:val="000000" w:themeColor="text1"/>
          <w:sz w:val="32"/>
          <w:szCs w:val="32"/>
        </w:rPr>
      </w:pPr>
      <w:r>
        <w:rPr>
          <w:rFonts w:cs="Arial" w:ascii="Arial" w:hAnsi="Arial"/>
          <w:b/>
          <w:bCs/>
          <w:color w:val="000000" w:themeColor="text1"/>
          <w:sz w:val="32"/>
          <w:szCs w:val="32"/>
        </w:rPr>
        <w:t>vydává</w:t>
      </w:r>
    </w:p>
    <w:p>
      <w:pPr>
        <w:pStyle w:val="Normal"/>
        <w:spacing w:before="57" w:after="0"/>
        <w:jc w:val="center"/>
        <w:rPr>
          <w:rFonts w:ascii="Arial" w:hAnsi="Arial" w:cs="Arial"/>
          <w:b/>
          <w:b/>
          <w:bCs/>
          <w:color w:val="000000" w:themeColor="text1"/>
          <w:sz w:val="32"/>
          <w:szCs w:val="32"/>
        </w:rPr>
      </w:pPr>
      <w:r>
        <w:rPr>
          <w:rFonts w:cs="Arial" w:ascii="Arial" w:hAnsi="Arial"/>
          <w:b/>
          <w:bCs/>
          <w:color w:val="000000" w:themeColor="text1"/>
          <w:sz w:val="32"/>
          <w:szCs w:val="32"/>
        </w:rPr>
        <w:t xml:space="preserve">změnu Z2 Územního plánu obce Karlštejn </w:t>
      </w:r>
    </w:p>
    <w:p>
      <w:pPr>
        <w:pStyle w:val="Normal"/>
        <w:spacing w:before="113" w:after="0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bCs/>
          <w:color w:val="000000" w:themeColor="text1"/>
          <w:sz w:val="22"/>
          <w:szCs w:val="22"/>
        </w:rPr>
        <w:t xml:space="preserve">schválenou usnesením Zastupitelstva městyse Karlštejn </w:t>
      </w:r>
      <w:r>
        <w:rPr>
          <w:rFonts w:cs="Arial" w:ascii="Arial" w:hAnsi="Arial"/>
          <w:bCs/>
          <w:color w:val="000000"/>
          <w:sz w:val="22"/>
          <w:szCs w:val="22"/>
        </w:rPr>
        <w:t>č.</w:t>
      </w:r>
      <w:r>
        <w:rPr>
          <w:rFonts w:cs="Arial" w:ascii="Arial" w:hAnsi="Arial"/>
          <w:bCs/>
          <w:color w:val="0070C0"/>
          <w:sz w:val="22"/>
          <w:szCs w:val="22"/>
        </w:rPr>
        <w:t xml:space="preserve"> </w:t>
      </w:r>
      <w:r>
        <w:rPr>
          <w:rFonts w:cs="Arial" w:ascii="Arial" w:hAnsi="Arial"/>
          <w:bCs/>
          <w:color w:val="000000"/>
          <w:sz w:val="22"/>
          <w:szCs w:val="22"/>
        </w:rPr>
        <w:t>2023/</w:t>
      </w:r>
      <w:r>
        <w:rPr>
          <w:rFonts w:cs="Arial" w:ascii="Arial" w:hAnsi="Arial"/>
          <w:bCs/>
          <w:color w:val="000000"/>
          <w:sz w:val="22"/>
          <w:szCs w:val="22"/>
        </w:rPr>
        <w:t>84</w:t>
      </w:r>
      <w:r>
        <w:rPr>
          <w:rFonts w:cs="Arial" w:ascii="Arial" w:hAnsi="Arial"/>
          <w:bCs/>
          <w:color w:val="000000"/>
          <w:sz w:val="22"/>
          <w:szCs w:val="22"/>
        </w:rPr>
        <w:t xml:space="preserve"> dne 27.9.2023, obsahující</w:t>
      </w:r>
      <w:r>
        <w:rPr>
          <w:rFonts w:cs="Arial" w:ascii="Arial" w:hAnsi="Arial"/>
          <w:color w:val="000000"/>
          <w:sz w:val="22"/>
          <w:szCs w:val="22"/>
        </w:rPr>
        <w:t>:</w:t>
      </w:r>
    </w:p>
    <w:p>
      <w:pPr>
        <w:pStyle w:val="Normal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b/>
          <w:bCs/>
          <w:color w:val="000000" w:themeColor="text1"/>
          <w:sz w:val="22"/>
          <w:szCs w:val="22"/>
        </w:rPr>
        <w:t xml:space="preserve">A. Textovou část výroku změny Z2 ÚPO Karlštejn, uvedenou v příloze č. 1 tohoto opatření </w:t>
      </w:r>
    </w:p>
    <w:p>
      <w:pPr>
        <w:pStyle w:val="Normal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color w:val="000000" w:themeColor="text1"/>
          <w:sz w:val="22"/>
          <w:szCs w:val="22"/>
        </w:rPr>
      </w:pPr>
      <w:r>
        <w:rPr>
          <w:rFonts w:cs="Arial" w:ascii="Arial" w:hAnsi="Arial"/>
          <w:b/>
          <w:bCs/>
          <w:color w:val="000000" w:themeColor="text1"/>
          <w:sz w:val="22"/>
          <w:szCs w:val="22"/>
        </w:rPr>
        <w:t>B. Grafickou část výroku změny Z2 ÚPO Karlštejn, uvedenou v příloze č. 2 tohoto opatření, tv</w:t>
      </w:r>
      <w:r>
        <w:rPr>
          <w:rFonts w:cs="Arial" w:ascii="Arial" w:hAnsi="Arial"/>
          <w:b/>
          <w:bCs/>
          <w:color w:val="000000" w:themeColor="text1"/>
          <w:sz w:val="22"/>
          <w:szCs w:val="22"/>
          <w:shd w:fill="auto" w:val="clear"/>
        </w:rPr>
        <w:t>ořenou výřezy výkresů:</w:t>
      </w:r>
    </w:p>
    <w:p>
      <w:pPr>
        <w:pStyle w:val="UText"/>
        <w:numPr>
          <w:ilvl w:val="0"/>
          <w:numId w:val="1"/>
        </w:numPr>
        <w:tabs>
          <w:tab w:val="clear" w:pos="709"/>
          <w:tab w:val="left" w:pos="7200" w:leader="dot"/>
        </w:tabs>
        <w:textAlignment w:val="auto"/>
        <w:rPr>
          <w:shd w:fill="auto" w:val="clear"/>
        </w:rPr>
      </w:pPr>
      <w:r>
        <w:rPr>
          <w:rFonts w:cs="Arial" w:ascii="Arial" w:hAnsi="Arial"/>
          <w:color w:val="000000" w:themeColor="text1"/>
          <w:sz w:val="22"/>
          <w:szCs w:val="22"/>
          <w:shd w:fill="auto" w:val="clear"/>
        </w:rPr>
        <w:t xml:space="preserve">výkres č.1 Výkres základního členění území </w:t>
        <w:tab/>
        <w:tab/>
        <w:t>1 : 5 000</w:t>
      </w:r>
    </w:p>
    <w:p>
      <w:pPr>
        <w:pStyle w:val="UText"/>
        <w:numPr>
          <w:ilvl w:val="0"/>
          <w:numId w:val="1"/>
        </w:numPr>
        <w:tabs>
          <w:tab w:val="clear" w:pos="709"/>
          <w:tab w:val="left" w:pos="7200" w:leader="dot"/>
        </w:tabs>
        <w:textAlignment w:val="auto"/>
        <w:rPr>
          <w:shd w:fill="auto" w:val="clear"/>
        </w:rPr>
      </w:pPr>
      <w:r>
        <w:rPr>
          <w:rFonts w:cs="Arial" w:ascii="Arial" w:hAnsi="Arial"/>
          <w:color w:val="000000" w:themeColor="text1"/>
          <w:sz w:val="22"/>
          <w:szCs w:val="22"/>
          <w:shd w:fill="auto" w:val="clear"/>
        </w:rPr>
        <w:t xml:space="preserve">výkres č.2 Hlavní výkres </w:t>
        <w:tab/>
        <w:tab/>
        <w:t>1 : 5 000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7200" w:leader="dot"/>
        </w:tabs>
        <w:rPr>
          <w:shd w:fill="auto" w:val="clear"/>
        </w:rPr>
      </w:pPr>
      <w:r>
        <w:rPr>
          <w:rFonts w:cs="Arial" w:ascii="Arial" w:hAnsi="Arial"/>
          <w:color w:val="000000" w:themeColor="text1"/>
          <w:sz w:val="22"/>
          <w:szCs w:val="22"/>
          <w:shd w:fill="auto" w:val="clear"/>
        </w:rPr>
        <w:t>výkres č.3 Výkres vymezení zastavěného území a zastavitelných ploch   1 : 5 000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7200" w:leader="dot"/>
        </w:tabs>
        <w:ind w:left="1440" w:hanging="0"/>
        <w:rPr>
          <w:shd w:fill="auto" w:val="clear"/>
        </w:rPr>
      </w:pPr>
      <w:r>
        <w:rPr>
          <w:shd w:fill="auto" w:val="clear"/>
        </w:rPr>
      </w:r>
    </w:p>
    <w:p>
      <w:pPr>
        <w:pStyle w:val="ListParagraph"/>
        <w:tabs>
          <w:tab w:val="clear" w:pos="709"/>
          <w:tab w:val="left" w:pos="7200" w:leader="dot"/>
        </w:tabs>
        <w:ind w:left="1069" w:hanging="0"/>
        <w:rPr>
          <w:rFonts w:ascii="Arial" w:hAnsi="Arial" w:cs="Arial"/>
          <w:color w:val="000000" w:themeColor="text1"/>
          <w:sz w:val="22"/>
          <w:szCs w:val="22"/>
          <w:shd w:fill="auto" w:val="clear"/>
        </w:rPr>
      </w:pPr>
      <w:r>
        <w:rPr>
          <w:rFonts w:cs="Arial" w:ascii="Arial" w:hAnsi="Arial"/>
          <w:color w:val="000000" w:themeColor="text1"/>
          <w:sz w:val="22"/>
          <w:szCs w:val="2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rFonts w:cs="Arial" w:ascii="Arial" w:hAnsi="Arial"/>
          <w:b/>
          <w:bCs/>
          <w:color w:val="000000" w:themeColor="text1"/>
          <w:sz w:val="22"/>
          <w:szCs w:val="22"/>
          <w:shd w:fill="auto" w:val="clear"/>
        </w:rPr>
        <w:t>O d ů v o d n ě n í</w:t>
      </w:r>
    </w:p>
    <w:p>
      <w:pPr>
        <w:pStyle w:val="Normal"/>
        <w:spacing w:before="57" w:after="0"/>
        <w:rPr>
          <w:shd w:fill="auto" w:val="clear"/>
        </w:rPr>
      </w:pPr>
      <w:r>
        <w:rPr>
          <w:rFonts w:cs="Arial" w:ascii="Arial" w:hAnsi="Arial"/>
          <w:bCs/>
          <w:color w:val="000000" w:themeColor="text1"/>
          <w:sz w:val="22"/>
          <w:szCs w:val="22"/>
          <w:shd w:fill="auto" w:val="clear"/>
        </w:rPr>
        <w:t>obsahující:</w:t>
      </w:r>
    </w:p>
    <w:p>
      <w:pPr>
        <w:pStyle w:val="Normal"/>
        <w:jc w:val="both"/>
        <w:rPr>
          <w:shd w:fill="auto" w:val="clear"/>
        </w:rPr>
      </w:pPr>
      <w:r>
        <w:rPr>
          <w:rFonts w:cs="Arial" w:ascii="Arial" w:hAnsi="Arial"/>
          <w:b/>
          <w:bCs/>
          <w:color w:val="000000" w:themeColor="text1"/>
          <w:sz w:val="22"/>
          <w:szCs w:val="22"/>
          <w:shd w:fill="auto" w:val="clear"/>
        </w:rPr>
        <w:t xml:space="preserve">1. Textovou část Odůvodnění změny Z2 ÚPO Karlštejn, uvedenou v příloze č. 1 odůvodnění tohoto opatření </w:t>
      </w:r>
    </w:p>
    <w:p>
      <w:pPr>
        <w:pStyle w:val="Normal"/>
        <w:jc w:val="both"/>
        <w:rPr>
          <w:rFonts w:ascii="Arial" w:hAnsi="Arial" w:cs="Arial"/>
          <w:color w:val="0070C0"/>
          <w:sz w:val="22"/>
          <w:szCs w:val="22"/>
          <w:shd w:fill="auto" w:val="clear"/>
        </w:rPr>
      </w:pPr>
      <w:r>
        <w:rPr>
          <w:rFonts w:cs="Arial" w:ascii="Arial" w:hAnsi="Arial"/>
          <w:color w:val="0070C0"/>
          <w:sz w:val="22"/>
          <w:szCs w:val="22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rFonts w:cs="Arial" w:ascii="Arial" w:hAnsi="Arial"/>
          <w:b/>
          <w:bCs/>
          <w:color w:val="000000" w:themeColor="text1"/>
          <w:sz w:val="22"/>
          <w:szCs w:val="22"/>
          <w:shd w:fill="auto" w:val="clear"/>
        </w:rPr>
        <w:t xml:space="preserve">2. Grafickou část Odůvodnění změny Z2 ÚPO Karlštejn, uvedenou v příloze č. 2 odůvodnění tohoto opatření, tvořenou výřezem výkresu </w:t>
      </w:r>
    </w:p>
    <w:p>
      <w:pPr>
        <w:pStyle w:val="NormlnText"/>
        <w:numPr>
          <w:ilvl w:val="0"/>
          <w:numId w:val="2"/>
        </w:numPr>
        <w:spacing w:lineRule="auto" w:line="240" w:before="0" w:after="0"/>
        <w:rPr>
          <w:shd w:fill="auto" w:val="clear"/>
        </w:rPr>
      </w:pPr>
      <w:r>
        <w:rPr>
          <w:rFonts w:cs="Arial" w:ascii="Arial" w:hAnsi="Arial"/>
          <w:strike w:val="false"/>
          <w:dstrike w:val="false"/>
          <w:color w:val="000000"/>
          <w:sz w:val="22"/>
          <w:szCs w:val="22"/>
          <w:shd w:fill="auto" w:val="clear"/>
        </w:rPr>
        <w:t>výkres č.4 Koordinační výkres …...……..……………………………</w:t>
        <w:tab/>
        <w:t xml:space="preserve">          1 : 5 000</w:t>
      </w:r>
    </w:p>
    <w:p>
      <w:pPr>
        <w:pStyle w:val="ListParagraph"/>
        <w:numPr>
          <w:ilvl w:val="0"/>
          <w:numId w:val="0"/>
        </w:numPr>
        <w:ind w:left="1440" w:hanging="0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P o u č e n 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Proti změně Z2 Územního plánu obce Karlštejn, vydané formou opatření obecné povahy nelze podat opravný prostředek (§ 173 odst. 2 zákona č. 500/2004 Sb., správní řád, v platném znění).</w:t>
      </w:r>
    </w:p>
    <w:p>
      <w:pPr>
        <w:pStyle w:val="Normal"/>
        <w:widowControl/>
        <w:spacing w:before="119" w:after="0"/>
        <w:jc w:val="both"/>
        <w:rPr>
          <w:rFonts w:ascii="Arial" w:hAnsi="Arial" w:eastAsia="Times New Roman" w:cs="Arial"/>
          <w:color w:val="0070C0"/>
          <w:sz w:val="22"/>
          <w:szCs w:val="22"/>
          <w:lang w:bidi="ar-SA"/>
        </w:rPr>
      </w:pPr>
      <w:r>
        <w:rPr>
          <w:rFonts w:eastAsia="Times New Roman" w:cs="Arial" w:ascii="Arial" w:hAnsi="Arial"/>
          <w:color w:val="0070C0"/>
          <w:sz w:val="22"/>
          <w:szCs w:val="22"/>
          <w:lang w:bidi="ar-SA"/>
        </w:rPr>
      </w:r>
    </w:p>
    <w:p>
      <w:pPr>
        <w:pStyle w:val="Normal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</w:t>
      </w:r>
      <w:r>
        <w:rPr>
          <w:rFonts w:cs="Arial" w:ascii="Arial" w:hAnsi="Arial"/>
          <w:sz w:val="22"/>
          <w:szCs w:val="22"/>
        </w:rPr>
        <w:t>Ing. Petr Pekárek</w:t>
      </w:r>
      <w:r>
        <w:rPr>
          <w:rFonts w:cs="Arial" w:ascii="Arial" w:hAnsi="Arial"/>
          <w:sz w:val="22"/>
          <w:szCs w:val="22"/>
          <w:shd w:fill="auto" w:val="clear"/>
        </w:rPr>
        <w:tab/>
        <w:tab/>
        <w:tab/>
      </w:r>
      <w:r>
        <w:rPr>
          <w:rFonts w:cs="Arial" w:ascii="Arial" w:hAnsi="Arial"/>
          <w:sz w:val="22"/>
          <w:szCs w:val="22"/>
        </w:rPr>
        <w:tab/>
        <w:tab/>
        <w:tab/>
        <w:tab/>
        <w:tab/>
        <w:t>Josef Čvančara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sz w:val="22"/>
          <w:szCs w:val="22"/>
          <w:shd w:fill="auto" w:val="clear"/>
        </w:rPr>
        <w:t xml:space="preserve">místostarosta městyse Karlštejn </w:t>
      </w:r>
      <w:r>
        <w:rPr>
          <w:rFonts w:cs="Arial" w:ascii="Arial" w:hAnsi="Arial"/>
          <w:sz w:val="22"/>
          <w:szCs w:val="22"/>
        </w:rPr>
        <w:tab/>
        <w:tab/>
        <w:t xml:space="preserve">                                                  starosta městyse Karlštejn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113" w:after="0"/>
        <w:rPr>
          <w:rFonts w:ascii="Arial" w:hAnsi="Arial" w:cs="Arial"/>
          <w:strike w:val="false"/>
          <w:dstrike w:val="false"/>
          <w:color w:val="000000"/>
          <w:sz w:val="22"/>
          <w:szCs w:val="22"/>
        </w:rPr>
      </w:pP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</w:r>
    </w:p>
    <w:p>
      <w:pPr>
        <w:pStyle w:val="Normal"/>
        <w:spacing w:lineRule="auto" w:line="240" w:before="113" w:after="0"/>
        <w:rPr/>
      </w:pP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  <w:t xml:space="preserve">Vyvěšeno:  </w:t>
      </w:r>
      <w:r>
        <w:rPr>
          <w:rFonts w:cs="Arial" w:ascii="Arial" w:hAnsi="Arial"/>
          <w:strike w:val="false"/>
          <w:dstrike w:val="false"/>
          <w:color w:val="0070C0"/>
          <w:sz w:val="22"/>
          <w:szCs w:val="22"/>
        </w:rPr>
        <w:t xml:space="preserve"> </w:t>
        <w:tab/>
        <w:tab/>
      </w:r>
    </w:p>
    <w:p>
      <w:pPr>
        <w:pStyle w:val="Normal"/>
        <w:spacing w:lineRule="auto" w:line="240" w:before="113" w:after="0"/>
        <w:rPr>
          <w:strike w:val="false"/>
          <w:dstrike w:val="false"/>
        </w:rPr>
      </w:pPr>
      <w:r>
        <w:rPr>
          <w:rFonts w:cs="Arial" w:ascii="Arial" w:hAnsi="Arial"/>
          <w:strike w:val="false"/>
          <w:dstrike w:val="false"/>
          <w:color w:val="000000"/>
          <w:sz w:val="22"/>
          <w:szCs w:val="22"/>
        </w:rPr>
        <w:t xml:space="preserve">Sejmuto:      </w:t>
      </w:r>
      <w:r>
        <w:rPr>
          <w:rFonts w:cs="Arial" w:ascii="Arial" w:hAnsi="Arial"/>
          <w:strike w:val="false"/>
          <w:dstrike w:val="false"/>
          <w:color w:val="0070C0"/>
          <w:sz w:val="22"/>
          <w:szCs w:val="22"/>
        </w:rPr>
        <w:t xml:space="preserve">   </w:t>
        <w:tab/>
        <w:t xml:space="preserve">    </w:t>
        <w:tab/>
        <w:tab/>
      </w:r>
      <w:r>
        <w:rPr>
          <w:rFonts w:cs="Arial" w:ascii="Arial" w:hAnsi="Arial"/>
          <w:i/>
          <w:strike w:val="false"/>
          <w:dstrike w:val="false"/>
          <w:color w:val="0070C0"/>
          <w:sz w:val="22"/>
          <w:szCs w:val="22"/>
        </w:rPr>
        <w:t>sejmout 16. den ode dne vyvěšení, tj. 1. den po patnáctém dni</w:t>
      </w:r>
    </w:p>
    <w:p>
      <w:pPr>
        <w:pStyle w:val="Normal"/>
        <w:spacing w:lineRule="auto" w:line="240" w:before="113" w:after="0"/>
        <w:rPr>
          <w:i w:val="false"/>
          <w:i w:val="false"/>
          <w:iCs w:val="false"/>
          <w:strike w:val="false"/>
          <w:dstrike w:val="false"/>
          <w:color w:val="000000"/>
        </w:rPr>
      </w:pPr>
      <w:r>
        <w:rPr>
          <w:rFonts w:cs="Arial" w:ascii="Arial" w:hAnsi="Arial"/>
          <w:i w:val="false"/>
          <w:iCs w:val="false"/>
          <w:strike w:val="false"/>
          <w:dstrike w:val="false"/>
          <w:color w:val="000000"/>
          <w:sz w:val="22"/>
          <w:szCs w:val="22"/>
        </w:rPr>
        <w:t xml:space="preserve">Nabylo účinnosti: </w:t>
        <w:tab/>
        <w:t xml:space="preserve">   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roid Sans Fallback" w:cs="DejaVu Sans"/>
      <w:color w:val="auto"/>
      <w:kern w:val="0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d6897"/>
    <w:rPr>
      <w:color w:val="0563C1" w:themeColor="hyperlink"/>
      <w:u w:val="single"/>
    </w:rPr>
  </w:style>
  <w:style w:type="character" w:styleId="Markedcontent" w:customStyle="1">
    <w:name w:val="markedcontent"/>
    <w:basedOn w:val="DefaultParagraphFont"/>
    <w:qFormat/>
    <w:rsid w:val="00613af4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fd6897"/>
    <w:rPr>
      <w:color w:val="605E5C"/>
      <w:shd w:fill="E1DFDD" w:val="clear"/>
    </w:rPr>
  </w:style>
  <w:style w:type="paragraph" w:styleId="Nadpis" w:customStyle="1">
    <w:name w:val="Nadpis"/>
    <w:basedOn w:val="Normal"/>
    <w:next w:val="Zkladntext1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Zkladntext1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kladntext1" w:customStyle="1">
    <w:name w:val="Základní text1"/>
    <w:basedOn w:val="Normal"/>
    <w:qFormat/>
    <w:pPr>
      <w:spacing w:lineRule="auto" w:line="288" w:before="0" w:after="140"/>
    </w:pPr>
    <w:rPr/>
  </w:style>
  <w:style w:type="paragraph" w:styleId="Titulek1" w:customStyle="1">
    <w:name w:val="Titulek1"/>
    <w:basedOn w:val="Normal"/>
    <w:qFormat/>
    <w:pPr>
      <w:suppressLineNumbers/>
      <w:spacing w:before="120" w:after="120"/>
    </w:pPr>
    <w:rPr>
      <w:i/>
      <w:iCs/>
    </w:rPr>
  </w:style>
  <w:style w:type="paragraph" w:styleId="NoSpacing">
    <w:name w:val="No Spacing"/>
    <w:qFormat/>
    <w:rsid w:val="00f04a7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Zkladntext31" w:customStyle="1">
    <w:name w:val="Základní text 31"/>
    <w:basedOn w:val="Normal"/>
    <w:qFormat/>
    <w:rsid w:val="00f04a79"/>
    <w:pPr>
      <w:widowControl/>
      <w:spacing w:before="0" w:after="120"/>
    </w:pPr>
    <w:rPr>
      <w:rFonts w:ascii="Times New Roman" w:hAnsi="Times New Roman" w:eastAsia="Times New Roman" w:cs="Times New Roman"/>
      <w:sz w:val="16"/>
      <w:szCs w:val="16"/>
      <w:lang w:bidi="ar-SA"/>
    </w:rPr>
  </w:style>
  <w:style w:type="paragraph" w:styleId="UText" w:customStyle="1">
    <w:name w:val="UText"/>
    <w:basedOn w:val="Normal"/>
    <w:qFormat/>
    <w:rsid w:val="005c4d56"/>
    <w:pPr>
      <w:widowControl/>
      <w:jc w:val="both"/>
      <w:textAlignment w:val="baseline"/>
    </w:pPr>
    <w:rPr>
      <w:rFonts w:ascii="Times New Roman" w:hAnsi="Times New Roman" w:eastAsia="Times New Roman" w:cs="Times New Roman"/>
      <w:color w:val="00000A"/>
      <w:lang w:eastAsia="cs-CZ" w:bidi="ar-SA"/>
    </w:rPr>
  </w:style>
  <w:style w:type="paragraph" w:styleId="ListParagraph">
    <w:name w:val="List Paragraph"/>
    <w:basedOn w:val="Normal"/>
    <w:uiPriority w:val="34"/>
    <w:qFormat/>
    <w:rsid w:val="005c4d56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NormlnText" w:customStyle="1">
    <w:name w:val="Normální.Text"/>
    <w:qFormat/>
    <w:rsid w:val="005c4d56"/>
    <w:pPr>
      <w:widowControl/>
      <w:suppressAutoHyphens w:val="true"/>
      <w:bidi w:val="0"/>
      <w:spacing w:lineRule="auto" w:line="360" w:before="0" w:after="24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LibreOffice/7.0.4.2$Linux_X86_64 LibreOffice_project/00$Build-2</Application>
  <AppVersion>15.0000</AppVersion>
  <Pages>1</Pages>
  <Words>291</Words>
  <Characters>1469</Characters>
  <CharactersWithSpaces>1863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2022-05-26T17:32:00Z</dcterms:created>
  <dc:creator>Libuse Hadravova</dc:creator>
  <dc:description/>
  <dc:language>cs-CZ</dc:language>
  <cp:lastModifiedBy/>
  <dcterms:modified xsi:type="dcterms:W3CDTF">2023-10-22T22:37:47Z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